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1F12825C" w:rsidR="00EC340A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ROLE:</w:t>
      </w:r>
      <w:r w:rsidR="00F33268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6E46FD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1618E2">
        <w:rPr>
          <w:rFonts w:ascii="CIDFont+F1" w:eastAsiaTheme="minorHAnsi" w:hAnsi="CIDFont+F1" w:cs="CIDFont+F1"/>
          <w:sz w:val="19"/>
          <w:szCs w:val="19"/>
        </w:rPr>
        <w:t>Investment Analyst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, Property and Infrastructure</w:t>
      </w:r>
    </w:p>
    <w:p w14:paraId="12BF68D5" w14:textId="0D5B0870" w:rsidR="00B90EF7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GRADE:</w:t>
      </w:r>
      <w:r w:rsidR="006A1A5A">
        <w:rPr>
          <w:rFonts w:ascii="CIDFont+F1" w:eastAsiaTheme="minorHAnsi" w:hAnsi="CIDFont+F1" w:cs="CIDFont+F1"/>
          <w:b/>
          <w:sz w:val="19"/>
          <w:szCs w:val="19"/>
        </w:rPr>
        <w:t xml:space="preserve"> </w:t>
      </w:r>
      <w:r w:rsidR="00713D7B" w:rsidRPr="00F728A7">
        <w:rPr>
          <w:rFonts w:ascii="CIDFont+F1" w:eastAsiaTheme="minorHAnsi" w:hAnsi="CIDFont+F1" w:cs="CIDFont+F1"/>
          <w:sz w:val="19"/>
          <w:szCs w:val="19"/>
        </w:rPr>
        <w:t>B</w:t>
      </w:r>
      <w:r w:rsidR="003519F5" w:rsidRPr="00F728A7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- £</w:t>
      </w:r>
      <w:r w:rsidR="00713D7B">
        <w:rPr>
          <w:rFonts w:ascii="CIDFont+F1" w:eastAsiaTheme="minorHAnsi" w:hAnsi="CIDFont+F1" w:cs="CIDFont+F1"/>
          <w:sz w:val="19"/>
          <w:szCs w:val="19"/>
        </w:rPr>
        <w:t>25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,000 - £</w:t>
      </w:r>
      <w:r w:rsidR="00713D7B">
        <w:rPr>
          <w:rFonts w:ascii="CIDFont+F1" w:eastAsiaTheme="minorHAnsi" w:hAnsi="CIDFont+F1" w:cs="CIDFont+F1"/>
          <w:sz w:val="19"/>
          <w:szCs w:val="19"/>
        </w:rPr>
        <w:t>4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0,000 depending on experience, plus LGPS DB pension scheme</w:t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</w:p>
    <w:p w14:paraId="64981B2D" w14:textId="77777777" w:rsidR="003519F5" w:rsidRPr="006A1A5A" w:rsidRDefault="006F31B6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Date:</w:t>
      </w:r>
      <w:r w:rsidR="005C55E5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February 2018</w:t>
      </w:r>
    </w:p>
    <w:p w14:paraId="6D462A26" w14:textId="7E67864C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507"/>
        <w:gridCol w:w="4819"/>
        <w:gridCol w:w="3402"/>
        <w:gridCol w:w="284"/>
        <w:gridCol w:w="2297"/>
      </w:tblGrid>
      <w:tr w:rsidR="003E6B72" w:rsidRPr="006E46FD" w14:paraId="36873312" w14:textId="77777777" w:rsidTr="004307A1">
        <w:tc>
          <w:tcPr>
            <w:tcW w:w="4507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4819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gridSpan w:val="2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4307A1">
        <w:tc>
          <w:tcPr>
            <w:tcW w:w="4507" w:type="dxa"/>
            <w:shd w:val="clear" w:color="auto" w:fill="auto"/>
          </w:tcPr>
          <w:p w14:paraId="43C92EDF" w14:textId="04D6402D" w:rsidR="0063141B" w:rsidRPr="00574BBE" w:rsidRDefault="00324A08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0" w:name="_Hlk526515628"/>
            <w:r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Role </w:t>
            </w:r>
            <w:r w:rsidR="00FB743F"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Purpose</w:t>
            </w:r>
            <w:r w:rsidR="00DE46A3"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  <w:bookmarkStart w:id="1" w:name="_GoBack"/>
            <w:bookmarkEnd w:id="1"/>
          </w:p>
          <w:p w14:paraId="5440CD28" w14:textId="3AA3400B" w:rsidR="0063141B" w:rsidRDefault="0063141B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Based in the Midlands (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ideally in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Wolverhampton or</w:t>
            </w:r>
            <w:r w:rsidR="00E33CBB">
              <w:rPr>
                <w:rFonts w:ascii="CIDFont+F1" w:eastAsiaTheme="minorHAnsi" w:hAnsi="CIDFont+F1" w:cs="CIDFont+F1"/>
                <w:sz w:val="19"/>
                <w:szCs w:val="19"/>
              </w:rPr>
              <w:t xml:space="preserve"> a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lternatively in our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Matlock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office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). The successful candidate will work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closely with our Portfolio Managers and the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 Director, Property and Infrastructure to deliver</w:t>
            </w:r>
            <w:r w:rsidR="00196347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high quality Fund</w:t>
            </w:r>
            <w:r w:rsidR="00FE79D0">
              <w:rPr>
                <w:rFonts w:ascii="CIDFont+F1" w:eastAsiaTheme="minorHAnsi" w:hAnsi="CIDFont+F1" w:cs="CIDFont+F1"/>
                <w:sz w:val="19"/>
                <w:szCs w:val="19"/>
              </w:rPr>
              <w:t>s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Direct</w:t>
            </w:r>
            <w:r w:rsidR="001618E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Investments.</w:t>
            </w:r>
          </w:p>
          <w:p w14:paraId="42447F18" w14:textId="77777777" w:rsidR="001618E2" w:rsidRDefault="001618E2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</w:p>
          <w:p w14:paraId="550B5ABC" w14:textId="3BA2BD69" w:rsidR="0063141B" w:rsidRPr="001618E2" w:rsidRDefault="0063141B" w:rsidP="001618E2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1618E2">
              <w:rPr>
                <w:rFonts w:ascii="CIDFont+F1" w:eastAsiaTheme="minorHAnsi" w:hAnsi="CIDFont+F1" w:cs="CIDFont+F1"/>
                <w:sz w:val="19"/>
                <w:szCs w:val="19"/>
              </w:rPr>
              <w:t>We offer Investment Analysts excellent prospects</w:t>
            </w:r>
          </w:p>
          <w:p w14:paraId="2FA4CB05" w14:textId="77777777" w:rsidR="0063141B" w:rsidRDefault="0063141B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for professional development supported by the</w:t>
            </w:r>
          </w:p>
          <w:p w14:paraId="786E13FA" w14:textId="03401BD7" w:rsidR="00AD3D39" w:rsidRPr="006E46FD" w:rsidRDefault="0063141B" w:rsidP="006314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Company, and</w:t>
            </w:r>
            <w:r w:rsidR="001618E2">
              <w:rPr>
                <w:rFonts w:ascii="CIDFont+F1" w:eastAsiaTheme="minorHAnsi" w:hAnsi="CIDFont+F1" w:cs="CIDFont+F1"/>
                <w:sz w:val="19"/>
                <w:szCs w:val="19"/>
              </w:rPr>
              <w:t xml:space="preserve"> career progression within the Investment Team.</w:t>
            </w:r>
          </w:p>
          <w:bookmarkEnd w:id="0"/>
          <w:p w14:paraId="17BDCA53" w14:textId="77777777" w:rsidR="007935FB" w:rsidRPr="00AD3D39" w:rsidRDefault="007935FB" w:rsidP="00AD3D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53951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Financial</w:t>
            </w:r>
          </w:p>
          <w:p w14:paraId="1354A3A8" w14:textId="7423D3D2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1D822424" w14:textId="77777777" w:rsidR="00776773" w:rsidRPr="00776773" w:rsidRDefault="00776773" w:rsidP="00776773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72598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Non-Financial</w:t>
            </w:r>
          </w:p>
          <w:p w14:paraId="7D04BF63" w14:textId="37C73904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Health and Safety</w:t>
            </w:r>
          </w:p>
          <w:p w14:paraId="70E30D8A" w14:textId="6849A53A" w:rsidR="00E22B43" w:rsidRPr="00574BBE" w:rsidRDefault="00E22B43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Performance management and reporting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A8CD75F" w14:textId="77777777" w:rsidR="00776773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Delegated Authority Levels:</w:t>
            </w:r>
          </w:p>
          <w:p w14:paraId="3804EDBE" w14:textId="040DFFA6" w:rsidR="00CF0E70" w:rsidRPr="0021545A" w:rsidRDefault="006E46FD" w:rsidP="006136A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1545A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510FA" w14:textId="3A577A12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Reports to: </w:t>
            </w:r>
          </w:p>
          <w:p w14:paraId="1E6F3EE0" w14:textId="2CCBC862" w:rsidR="00F47C52" w:rsidRDefault="00F47C52" w:rsidP="00F47C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Senior Portfolio Manager and Portfolio Manager, Property and Infrastructure </w:t>
            </w:r>
          </w:p>
          <w:p w14:paraId="35D23419" w14:textId="77777777" w:rsidR="002D0C9E" w:rsidRPr="00574BBE" w:rsidRDefault="002D0C9E" w:rsidP="002D0C9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Investment Director,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Property and Infrastructure</w:t>
            </w:r>
          </w:p>
          <w:p w14:paraId="5D9E95F1" w14:textId="77777777" w:rsidR="00F47C52" w:rsidRPr="009323E1" w:rsidRDefault="00F47C52" w:rsidP="00F4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3B2B3" w14:textId="77777777" w:rsidR="009323E1" w:rsidRDefault="006E46FD" w:rsidP="009323E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Relationships Internal: </w:t>
            </w:r>
          </w:p>
          <w:p w14:paraId="3623724B" w14:textId="214F7162" w:rsidR="006E46FD" w:rsidRPr="002635EF" w:rsidRDefault="006E46FD" w:rsidP="002635E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3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lastRenderedPageBreak/>
              <w:t>Executive Directors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Board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N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>on-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E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xecutive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D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>irectors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Heads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of Service, 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>Portfolio M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anagers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other members of LGPSC Ltd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staff</w:t>
            </w:r>
          </w:p>
          <w:p w14:paraId="7BBEFA59" w14:textId="6D3C97C6" w:rsidR="006E46FD" w:rsidRPr="006E46FD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Stakeholders and Clients</w:t>
            </w:r>
          </w:p>
        </w:tc>
        <w:tc>
          <w:tcPr>
            <w:tcW w:w="4819" w:type="dxa"/>
          </w:tcPr>
          <w:p w14:paraId="155A97F7" w14:textId="4A40DD64" w:rsidR="00FB743F" w:rsidRPr="00FB743F" w:rsidRDefault="00FB743F" w:rsidP="00FB743F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FB743F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Outcomes:</w:t>
            </w:r>
          </w:p>
          <w:p w14:paraId="783992BF" w14:textId="6FE58524" w:rsidR="001D0134" w:rsidRDefault="001D0134" w:rsidP="00AD0ABF">
            <w:pPr>
              <w:pStyle w:val="ListParagraph"/>
              <w:numPr>
                <w:ilvl w:val="0"/>
                <w:numId w:val="34"/>
              </w:numPr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Assist 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>the Property and Infrastructure Team Portfolio Managers and Investment Director in meeting the investment</w:t>
            </w:r>
            <w:r w:rsid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targets of the LGPS Central </w:t>
            </w:r>
            <w:r w:rsidR="00AD0ABF">
              <w:rPr>
                <w:rFonts w:ascii="CIDFont+F1" w:eastAsiaTheme="minorHAnsi" w:hAnsi="CIDFont+F1" w:cs="CIDFont+F1"/>
                <w:sz w:val="19"/>
                <w:szCs w:val="19"/>
              </w:rPr>
              <w:t>Infrastructure and Property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</w:t>
            </w:r>
            <w:r w:rsidR="00AD0ABF">
              <w:rPr>
                <w:rFonts w:ascii="CIDFont+F1" w:eastAsiaTheme="minorHAnsi" w:hAnsi="CIDFont+F1" w:cs="CIDFont+F1"/>
                <w:sz w:val="19"/>
                <w:szCs w:val="19"/>
              </w:rPr>
              <w:t>s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5331A978" w14:textId="4AB0079B" w:rsidR="009E3942" w:rsidRPr="00B533B6" w:rsidRDefault="009E3942" w:rsidP="00B533B6">
            <w:pPr>
              <w:pStyle w:val="ListParagraph"/>
              <w:numPr>
                <w:ilvl w:val="0"/>
                <w:numId w:val="34"/>
              </w:numPr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>Assist in the integration and maintenance of the house view on Responsible Investment and the Risk and Compliance Framework into the investment process</w:t>
            </w:r>
            <w:r w:rsid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>Portfolio Managers use within its</w:t>
            </w:r>
            <w:r w:rsidR="00B533B6" w:rsidRP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Property and Infrastructure</w:t>
            </w: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investments.</w:t>
            </w:r>
          </w:p>
          <w:p w14:paraId="2BC7A87C" w14:textId="47FD4B3E" w:rsidR="00FB5C90" w:rsidRPr="00D81052" w:rsidRDefault="00651515" w:rsidP="005731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Support the Portfolio Managers</w:t>
            </w:r>
            <w:r w:rsidR="009A58C9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</w:t>
            </w:r>
            <w:r w:rsidR="001D0134"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 Director</w:t>
            </w:r>
            <w:r w:rsidR="00741F2B">
              <w:rPr>
                <w:rFonts w:ascii="CIDFont+F1" w:eastAsiaTheme="minorHAnsi" w:hAnsi="CIDFont+F1" w:cs="CIDFont+F1"/>
                <w:sz w:val="19"/>
                <w:szCs w:val="19"/>
              </w:rPr>
              <w:t xml:space="preserve"> to provide assurance that the</w:t>
            </w:r>
            <w:r w:rsidR="00EB452A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1D0134"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investments are managed within the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parameters set in the Prospectus and the IMA,</w:t>
            </w:r>
            <w:r w:rsidR="006355A9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and in accordance with the Company’s policies.</w:t>
            </w:r>
          </w:p>
          <w:p w14:paraId="020F6DD5" w14:textId="60F23669" w:rsidR="00FB5C90" w:rsidRPr="006325F9" w:rsidRDefault="00634A4F" w:rsidP="004C137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Promote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LGPS Central within the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investment community, Partner Funds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428A2F87" w14:textId="0780DAAA" w:rsidR="00FB5C90" w:rsidRPr="00D81052" w:rsidRDefault="00FB5C90" w:rsidP="00695E7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When directed by the Investment Director,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>Infrastructure and Property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="00F542C1">
              <w:rPr>
                <w:rFonts w:ascii="CIDFont+F1" w:eastAsiaTheme="minorHAnsi" w:hAnsi="CIDFont+F1" w:cs="CIDFont+F1"/>
                <w:sz w:val="19"/>
                <w:szCs w:val="19"/>
              </w:rPr>
              <w:t xml:space="preserve">assist in the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implement</w:t>
            </w:r>
            <w:r w:rsidR="00F542C1">
              <w:rPr>
                <w:rFonts w:ascii="CIDFont+F1" w:eastAsiaTheme="minorHAnsi" w:hAnsi="CIDFont+F1" w:cs="CIDFont+F1"/>
                <w:sz w:val="19"/>
                <w:szCs w:val="19"/>
              </w:rPr>
              <w:t>ation and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the creation of new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external mandates or the retender or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consolidation of existing external mandates.</w:t>
            </w:r>
          </w:p>
          <w:p w14:paraId="63CFA1F3" w14:textId="27A2AC5D" w:rsidR="00FB5C90" w:rsidRPr="006325F9" w:rsidRDefault="006E0439" w:rsidP="005920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Be familiar with and follow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the manager selection,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appointment, monitoring, reporting, retender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and transition framework (the “Manager of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Managers Process”) set by the Investment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Director, Manager of Managers and Absolute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Return.</w:t>
            </w:r>
          </w:p>
          <w:p w14:paraId="4B890B90" w14:textId="6A43934B" w:rsidR="00FD008F" w:rsidRPr="0048517C" w:rsidRDefault="00FD008F" w:rsidP="004851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t>Originate, Evaluate and recommend new investment ideas to the Portfolio Managers and the Investment Director.</w:t>
            </w:r>
          </w:p>
          <w:p w14:paraId="20392E78" w14:textId="6E61DE79" w:rsidR="00FD008F" w:rsidRPr="0048517C" w:rsidRDefault="00FD008F" w:rsidP="004851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lastRenderedPageBreak/>
              <w:t>Assist the Portfolio Managers to implement the strategy and investment process of the Property and Infrastructure Funds.</w:t>
            </w:r>
          </w:p>
          <w:p w14:paraId="5A8F7B90" w14:textId="539E8E89" w:rsidR="00FD008F" w:rsidRDefault="00FD008F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D008F">
              <w:rPr>
                <w:rFonts w:ascii="CIDFont+F1" w:eastAsiaTheme="minorHAnsi" w:hAnsi="CIDFont+F1" w:cs="CIDFont+F1"/>
                <w:sz w:val="19"/>
                <w:szCs w:val="19"/>
              </w:rPr>
              <w:t>Carry out financial, legal, and commercial due diligence on target investments, at the request of the Portfolio Managers or the Investment Director.</w:t>
            </w:r>
          </w:p>
          <w:p w14:paraId="04CF0121" w14:textId="51CC1267" w:rsidR="00AB5D8A" w:rsidRDefault="00AB5D8A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Undertake research as requested by the Portfolio Managers or Investment Director</w:t>
            </w:r>
            <w:r w:rsidR="008F4511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1CEAE7A4" w14:textId="128206E6" w:rsidR="008F4511" w:rsidRPr="00FD008F" w:rsidRDefault="008F4511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Monitor portfolio to ensure compliance with the mandate.</w:t>
            </w:r>
          </w:p>
          <w:p w14:paraId="68972D1A" w14:textId="41659D1E" w:rsidR="0061488E" w:rsidRPr="00FD008F" w:rsidRDefault="00FD008F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D008F">
              <w:rPr>
                <w:rFonts w:ascii="CIDFont+F1" w:eastAsiaTheme="minorHAnsi" w:hAnsi="CIDFont+F1" w:cs="CIDFont+F1"/>
                <w:sz w:val="19"/>
                <w:szCs w:val="19"/>
              </w:rPr>
              <w:t>Embrace a culture of high performing, collaborative, research based and responsible investing across LGPS Central.</w:t>
            </w:r>
          </w:p>
        </w:tc>
        <w:tc>
          <w:tcPr>
            <w:tcW w:w="3686" w:type="dxa"/>
            <w:gridSpan w:val="2"/>
          </w:tcPr>
          <w:p w14:paraId="474CE71B" w14:textId="62C8364B" w:rsidR="00EC340A" w:rsidRPr="00115B19" w:rsidRDefault="00EC340A" w:rsidP="00115B1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2" w:name="_Hlk526515655"/>
            <w:r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Skills/Knowledge/Experience/Competence</w:t>
            </w:r>
            <w:r w:rsidR="006F31B6"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</w:p>
          <w:p w14:paraId="7A8689DF" w14:textId="184E8445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Experience of investment/financial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analysis within Private Markets,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especially </w:t>
            </w:r>
            <w:r w:rsidR="00B749C2">
              <w:rPr>
                <w:rFonts w:ascii="CIDFont+F1" w:eastAsiaTheme="minorHAnsi" w:hAnsi="CIDFont+F1" w:cs="CIDFont+F1"/>
                <w:sz w:val="19"/>
                <w:szCs w:val="19"/>
              </w:rPr>
              <w:t xml:space="preserve">Property and </w:t>
            </w:r>
            <w:r w:rsidR="00D9258E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, preferably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gained with an asset manager or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other financial institution.</w:t>
            </w:r>
          </w:p>
          <w:p w14:paraId="3EB9BEF2" w14:textId="6F82E680" w:rsidR="00115B19" w:rsidRPr="00D9258E" w:rsidRDefault="00115B19" w:rsidP="00DD2C6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Demonstrated skill in originating,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analysing and recommending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investments, documenting the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rationale for making investments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and monitoring them once</w:t>
            </w:r>
            <w:r w:rsidR="00D9258E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selected.</w:t>
            </w:r>
          </w:p>
          <w:p w14:paraId="69E70F39" w14:textId="1B88FEEE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High degree of professional ethics,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integrity and gravitas.</w:t>
            </w:r>
          </w:p>
          <w:p w14:paraId="0E5F0EF6" w14:textId="07807BDD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Excellent judgement and analytical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6CFE911B" w14:textId="3C566022" w:rsidR="001C3182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First class interpersonal,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collaborative and communication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58B2D290" w14:textId="77777777" w:rsidR="004307A1" w:rsidRPr="00115B19" w:rsidRDefault="004307A1" w:rsidP="00430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950C" w14:textId="0E1C48B3" w:rsidR="00EC340A" w:rsidRPr="00ED59E6" w:rsidRDefault="00EC340A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Qualifications</w:t>
            </w:r>
          </w:p>
          <w:bookmarkEnd w:id="2"/>
          <w:p w14:paraId="74CAD604" w14:textId="72A89ED0" w:rsidR="00667EF3" w:rsidRPr="00667EF3" w:rsidRDefault="00667EF3" w:rsidP="0085245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Relevant degree and/or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professional qualification</w:t>
            </w:r>
            <w:r w:rsidR="002B7019">
              <w:rPr>
                <w:rFonts w:ascii="CIDFont+F1" w:eastAsiaTheme="minorHAnsi" w:hAnsi="CIDFont+F1" w:cs="CIDFont+F1"/>
                <w:sz w:val="19"/>
                <w:szCs w:val="19"/>
              </w:rPr>
              <w:t xml:space="preserve"> or experience of working in a financial environment</w:t>
            </w:r>
            <w:r w:rsidR="00084133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0AAA398E" w14:textId="7E3B0E80" w:rsidR="00D806FA" w:rsidRPr="00667EF3" w:rsidRDefault="00667EF3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IMC gained and working towards</w:t>
            </w:r>
            <w:r w:rsidR="00ED59E6"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CFA qualification or similar/or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relevant investment experience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 xml:space="preserve">would be a plus. </w:t>
            </w:r>
          </w:p>
        </w:tc>
        <w:tc>
          <w:tcPr>
            <w:tcW w:w="2297" w:type="dxa"/>
          </w:tcPr>
          <w:p w14:paraId="1990DD35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Values:</w:t>
            </w:r>
          </w:p>
          <w:p w14:paraId="658303C2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Integrity</w:t>
            </w:r>
          </w:p>
          <w:p w14:paraId="6E342196" w14:textId="2E3AC3DB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Service Delivery</w:t>
            </w:r>
          </w:p>
          <w:p w14:paraId="60F957D9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Supportive Workplace</w:t>
            </w:r>
          </w:p>
          <w:p w14:paraId="58AC1073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Togetherness</w:t>
            </w:r>
          </w:p>
          <w:p w14:paraId="5BFFE5D7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Outward Focus 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Behaviours:</w:t>
            </w:r>
          </w:p>
          <w:p w14:paraId="40AF18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Open, fair and transparent</w:t>
            </w:r>
          </w:p>
          <w:p w14:paraId="1843F3CD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Honest and trustworthy</w:t>
            </w:r>
          </w:p>
          <w:p w14:paraId="01ECD1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Empowered in making right decisions</w:t>
            </w:r>
          </w:p>
          <w:p w14:paraId="75261192" w14:textId="5E71CECE" w:rsidR="001C3182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Accountability for results and delivery</w:t>
            </w:r>
          </w:p>
          <w:p w14:paraId="4F179D5C" w14:textId="2FBBB8A7" w:rsidR="00BF1502" w:rsidRDefault="00BF150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Hard working</w:t>
            </w:r>
          </w:p>
          <w:p w14:paraId="4FA7A9D2" w14:textId="5A0F54AD" w:rsidR="002B7019" w:rsidRPr="00ED59E6" w:rsidRDefault="002B7019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Team player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1922" w14:textId="77777777" w:rsidR="00B34D26" w:rsidRDefault="00B34D26" w:rsidP="005C55E5">
      <w:r>
        <w:separator/>
      </w:r>
    </w:p>
  </w:endnote>
  <w:endnote w:type="continuationSeparator" w:id="0">
    <w:p w14:paraId="319C9C9F" w14:textId="77777777" w:rsidR="00B34D26" w:rsidRDefault="00B34D26" w:rsidP="005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CE24" w14:textId="77777777" w:rsidR="00B34D26" w:rsidRDefault="00B34D26" w:rsidP="005C55E5">
      <w:r>
        <w:separator/>
      </w:r>
    </w:p>
  </w:footnote>
  <w:footnote w:type="continuationSeparator" w:id="0">
    <w:p w14:paraId="11893BAA" w14:textId="77777777" w:rsidR="00B34D26" w:rsidRDefault="00B34D26" w:rsidP="005C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3A3011EB" w:rsidR="005C55E5" w:rsidRDefault="003519F5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C2DB0" wp14:editId="56BBCA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49a04b7eb59111ae213e5665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A59E4" w14:textId="4717CFC9" w:rsidR="003519F5" w:rsidRPr="00CA5DDD" w:rsidRDefault="00CA5DDD" w:rsidP="00CA5DD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A5DD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C2DB0" id="_x0000_t202" coordsize="21600,21600" o:spt="202" path="m,l,21600r21600,l21600,xe">
              <v:stroke joinstyle="miter"/>
              <v:path gradientshapeok="t" o:connecttype="rect"/>
            </v:shapetype>
            <v:shape id="MSIPCM49a04b7eb59111ae213e5665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" o:allowincell="f" filled="f" stroked="f" strokeweight=".5pt">
              <v:textbox inset="20pt,0,,0">
                <w:txbxContent>
                  <w:p w14:paraId="405A59E4" w14:textId="4717CFC9" w:rsidR="003519F5" w:rsidRPr="00CA5DDD" w:rsidRDefault="00CA5DDD" w:rsidP="00CA5DDD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A5DD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43"/>
    <w:multiLevelType w:val="hybridMultilevel"/>
    <w:tmpl w:val="0334606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60338"/>
    <w:multiLevelType w:val="hybridMultilevel"/>
    <w:tmpl w:val="37202C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367E"/>
    <w:multiLevelType w:val="hybridMultilevel"/>
    <w:tmpl w:val="8090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575"/>
    <w:multiLevelType w:val="hybridMultilevel"/>
    <w:tmpl w:val="30D0F01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E5E"/>
    <w:multiLevelType w:val="hybridMultilevel"/>
    <w:tmpl w:val="EC2A88A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5F8"/>
    <w:multiLevelType w:val="hybridMultilevel"/>
    <w:tmpl w:val="B1B866A8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093F"/>
    <w:multiLevelType w:val="hybridMultilevel"/>
    <w:tmpl w:val="C70E02B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13E6A"/>
    <w:multiLevelType w:val="hybridMultilevel"/>
    <w:tmpl w:val="5C1AAB7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273F"/>
    <w:multiLevelType w:val="hybridMultilevel"/>
    <w:tmpl w:val="86980976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288C"/>
    <w:multiLevelType w:val="hybridMultilevel"/>
    <w:tmpl w:val="7D72E4F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6370"/>
    <w:multiLevelType w:val="hybridMultilevel"/>
    <w:tmpl w:val="3288109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72CF3"/>
    <w:multiLevelType w:val="hybridMultilevel"/>
    <w:tmpl w:val="2526A5A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E62F5"/>
    <w:multiLevelType w:val="hybridMultilevel"/>
    <w:tmpl w:val="5A3051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0151"/>
    <w:multiLevelType w:val="hybridMultilevel"/>
    <w:tmpl w:val="8064FF4C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F0541"/>
    <w:multiLevelType w:val="hybridMultilevel"/>
    <w:tmpl w:val="98929FB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D1303"/>
    <w:multiLevelType w:val="hybridMultilevel"/>
    <w:tmpl w:val="1F462E2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46E57"/>
    <w:multiLevelType w:val="hybridMultilevel"/>
    <w:tmpl w:val="C182294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B59EE"/>
    <w:multiLevelType w:val="hybridMultilevel"/>
    <w:tmpl w:val="B66E1BA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3B7D"/>
    <w:multiLevelType w:val="hybridMultilevel"/>
    <w:tmpl w:val="9C9213F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2C7A"/>
    <w:multiLevelType w:val="hybridMultilevel"/>
    <w:tmpl w:val="1C9CEBB2"/>
    <w:lvl w:ilvl="0" w:tplc="4C245FF2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2410440"/>
    <w:multiLevelType w:val="hybridMultilevel"/>
    <w:tmpl w:val="53B0FF8C"/>
    <w:lvl w:ilvl="0" w:tplc="1D3AAF38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DB032A"/>
    <w:multiLevelType w:val="hybridMultilevel"/>
    <w:tmpl w:val="22C439E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27347"/>
    <w:multiLevelType w:val="hybridMultilevel"/>
    <w:tmpl w:val="60B8E40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74C"/>
    <w:multiLevelType w:val="hybridMultilevel"/>
    <w:tmpl w:val="3870768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0C0A"/>
    <w:multiLevelType w:val="hybridMultilevel"/>
    <w:tmpl w:val="F282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3"/>
  </w:num>
  <w:num w:numId="4">
    <w:abstractNumId w:val="27"/>
  </w:num>
  <w:num w:numId="5">
    <w:abstractNumId w:val="19"/>
  </w:num>
  <w:num w:numId="6">
    <w:abstractNumId w:val="9"/>
  </w:num>
  <w:num w:numId="7">
    <w:abstractNumId w:val="17"/>
  </w:num>
  <w:num w:numId="8">
    <w:abstractNumId w:val="36"/>
  </w:num>
  <w:num w:numId="9">
    <w:abstractNumId w:val="2"/>
  </w:num>
  <w:num w:numId="10">
    <w:abstractNumId w:val="37"/>
  </w:num>
  <w:num w:numId="11">
    <w:abstractNumId w:val="40"/>
  </w:num>
  <w:num w:numId="12">
    <w:abstractNumId w:val="34"/>
  </w:num>
  <w:num w:numId="13">
    <w:abstractNumId w:val="15"/>
  </w:num>
  <w:num w:numId="14">
    <w:abstractNumId w:val="5"/>
  </w:num>
  <w:num w:numId="15">
    <w:abstractNumId w:val="24"/>
  </w:num>
  <w:num w:numId="16">
    <w:abstractNumId w:val="7"/>
  </w:num>
  <w:num w:numId="17">
    <w:abstractNumId w:val="31"/>
  </w:num>
  <w:num w:numId="18">
    <w:abstractNumId w:val="0"/>
  </w:num>
  <w:num w:numId="19">
    <w:abstractNumId w:val="11"/>
  </w:num>
  <w:num w:numId="20">
    <w:abstractNumId w:val="42"/>
  </w:num>
  <w:num w:numId="21">
    <w:abstractNumId w:val="14"/>
  </w:num>
  <w:num w:numId="22">
    <w:abstractNumId w:val="45"/>
  </w:num>
  <w:num w:numId="23">
    <w:abstractNumId w:val="6"/>
  </w:num>
  <w:num w:numId="24">
    <w:abstractNumId w:val="4"/>
  </w:num>
  <w:num w:numId="25">
    <w:abstractNumId w:val="1"/>
  </w:num>
  <w:num w:numId="26">
    <w:abstractNumId w:val="25"/>
  </w:num>
  <w:num w:numId="27">
    <w:abstractNumId w:val="10"/>
  </w:num>
  <w:num w:numId="28">
    <w:abstractNumId w:val="26"/>
  </w:num>
  <w:num w:numId="29">
    <w:abstractNumId w:val="12"/>
  </w:num>
  <w:num w:numId="30">
    <w:abstractNumId w:val="43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 w:numId="35">
    <w:abstractNumId w:val="32"/>
  </w:num>
  <w:num w:numId="36">
    <w:abstractNumId w:val="29"/>
  </w:num>
  <w:num w:numId="37">
    <w:abstractNumId w:val="39"/>
  </w:num>
  <w:num w:numId="38">
    <w:abstractNumId w:val="16"/>
  </w:num>
  <w:num w:numId="39">
    <w:abstractNumId w:val="30"/>
  </w:num>
  <w:num w:numId="40">
    <w:abstractNumId w:val="38"/>
  </w:num>
  <w:num w:numId="41">
    <w:abstractNumId w:val="21"/>
  </w:num>
  <w:num w:numId="42">
    <w:abstractNumId w:val="35"/>
  </w:num>
  <w:num w:numId="43">
    <w:abstractNumId w:val="13"/>
  </w:num>
  <w:num w:numId="44">
    <w:abstractNumId w:val="28"/>
  </w:num>
  <w:num w:numId="45">
    <w:abstractNumId w:val="4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424D5"/>
    <w:rsid w:val="000521AE"/>
    <w:rsid w:val="000708A6"/>
    <w:rsid w:val="00084133"/>
    <w:rsid w:val="00085D89"/>
    <w:rsid w:val="0010195F"/>
    <w:rsid w:val="00115B19"/>
    <w:rsid w:val="001618E2"/>
    <w:rsid w:val="00196347"/>
    <w:rsid w:val="001A23B8"/>
    <w:rsid w:val="001C3182"/>
    <w:rsid w:val="001D0134"/>
    <w:rsid w:val="001E2563"/>
    <w:rsid w:val="00206FEC"/>
    <w:rsid w:val="0021545A"/>
    <w:rsid w:val="002169F7"/>
    <w:rsid w:val="002635EF"/>
    <w:rsid w:val="002844ED"/>
    <w:rsid w:val="002B7019"/>
    <w:rsid w:val="002D0C9E"/>
    <w:rsid w:val="00324A08"/>
    <w:rsid w:val="003519F5"/>
    <w:rsid w:val="003542E9"/>
    <w:rsid w:val="00371D01"/>
    <w:rsid w:val="003A693F"/>
    <w:rsid w:val="003C658B"/>
    <w:rsid w:val="003D1C90"/>
    <w:rsid w:val="003E6B72"/>
    <w:rsid w:val="004307A1"/>
    <w:rsid w:val="00454597"/>
    <w:rsid w:val="0046093E"/>
    <w:rsid w:val="0048517C"/>
    <w:rsid w:val="004B1AF7"/>
    <w:rsid w:val="004B3F05"/>
    <w:rsid w:val="004D52AA"/>
    <w:rsid w:val="00502EEF"/>
    <w:rsid w:val="00505320"/>
    <w:rsid w:val="00523076"/>
    <w:rsid w:val="00544CE0"/>
    <w:rsid w:val="00574BBE"/>
    <w:rsid w:val="00575657"/>
    <w:rsid w:val="0058718C"/>
    <w:rsid w:val="005B396A"/>
    <w:rsid w:val="005B490C"/>
    <w:rsid w:val="005C55E5"/>
    <w:rsid w:val="005D288A"/>
    <w:rsid w:val="005D4699"/>
    <w:rsid w:val="005E52ED"/>
    <w:rsid w:val="0061488E"/>
    <w:rsid w:val="0063141B"/>
    <w:rsid w:val="006315E4"/>
    <w:rsid w:val="006325F9"/>
    <w:rsid w:val="00634A4F"/>
    <w:rsid w:val="006355A9"/>
    <w:rsid w:val="0063690A"/>
    <w:rsid w:val="006450F6"/>
    <w:rsid w:val="00651515"/>
    <w:rsid w:val="00652F77"/>
    <w:rsid w:val="006550CC"/>
    <w:rsid w:val="00667EF3"/>
    <w:rsid w:val="006742B2"/>
    <w:rsid w:val="00677977"/>
    <w:rsid w:val="00680263"/>
    <w:rsid w:val="006A1A5A"/>
    <w:rsid w:val="006C24E8"/>
    <w:rsid w:val="006E0439"/>
    <w:rsid w:val="006E162F"/>
    <w:rsid w:val="006E46FD"/>
    <w:rsid w:val="006F31B6"/>
    <w:rsid w:val="00713D7B"/>
    <w:rsid w:val="00741F2B"/>
    <w:rsid w:val="007528CE"/>
    <w:rsid w:val="007728AC"/>
    <w:rsid w:val="00776773"/>
    <w:rsid w:val="007935FB"/>
    <w:rsid w:val="00797DBC"/>
    <w:rsid w:val="007C2FA8"/>
    <w:rsid w:val="008452BE"/>
    <w:rsid w:val="008534E8"/>
    <w:rsid w:val="008742A4"/>
    <w:rsid w:val="008B16D2"/>
    <w:rsid w:val="008C54B8"/>
    <w:rsid w:val="008E5FB0"/>
    <w:rsid w:val="008F281D"/>
    <w:rsid w:val="008F4511"/>
    <w:rsid w:val="00901032"/>
    <w:rsid w:val="009323E1"/>
    <w:rsid w:val="0096729B"/>
    <w:rsid w:val="00994664"/>
    <w:rsid w:val="009A58C9"/>
    <w:rsid w:val="009E3942"/>
    <w:rsid w:val="00A011D1"/>
    <w:rsid w:val="00A84BFB"/>
    <w:rsid w:val="00A86B50"/>
    <w:rsid w:val="00AA3402"/>
    <w:rsid w:val="00AB0B11"/>
    <w:rsid w:val="00AB5D8A"/>
    <w:rsid w:val="00AD0ABF"/>
    <w:rsid w:val="00AD3D39"/>
    <w:rsid w:val="00AF333C"/>
    <w:rsid w:val="00B34D26"/>
    <w:rsid w:val="00B533B6"/>
    <w:rsid w:val="00B562F8"/>
    <w:rsid w:val="00B749C2"/>
    <w:rsid w:val="00B90EF7"/>
    <w:rsid w:val="00B977D4"/>
    <w:rsid w:val="00BD5BDA"/>
    <w:rsid w:val="00BE284A"/>
    <w:rsid w:val="00BF1502"/>
    <w:rsid w:val="00BF4A9A"/>
    <w:rsid w:val="00C01E32"/>
    <w:rsid w:val="00C447B8"/>
    <w:rsid w:val="00C473DE"/>
    <w:rsid w:val="00C834C2"/>
    <w:rsid w:val="00C85E40"/>
    <w:rsid w:val="00CA5DDD"/>
    <w:rsid w:val="00CC0B2C"/>
    <w:rsid w:val="00CF0E70"/>
    <w:rsid w:val="00CF38A3"/>
    <w:rsid w:val="00D177CA"/>
    <w:rsid w:val="00D24478"/>
    <w:rsid w:val="00D26899"/>
    <w:rsid w:val="00D67492"/>
    <w:rsid w:val="00D806FA"/>
    <w:rsid w:val="00D81052"/>
    <w:rsid w:val="00D9258E"/>
    <w:rsid w:val="00D93E56"/>
    <w:rsid w:val="00DE46A3"/>
    <w:rsid w:val="00E145E3"/>
    <w:rsid w:val="00E22B43"/>
    <w:rsid w:val="00E33CBB"/>
    <w:rsid w:val="00E803E7"/>
    <w:rsid w:val="00EB452A"/>
    <w:rsid w:val="00EC340A"/>
    <w:rsid w:val="00ED59E6"/>
    <w:rsid w:val="00F12776"/>
    <w:rsid w:val="00F31210"/>
    <w:rsid w:val="00F33268"/>
    <w:rsid w:val="00F43AAD"/>
    <w:rsid w:val="00F47C52"/>
    <w:rsid w:val="00F534D4"/>
    <w:rsid w:val="00F542C1"/>
    <w:rsid w:val="00F55904"/>
    <w:rsid w:val="00F728A7"/>
    <w:rsid w:val="00F7570F"/>
    <w:rsid w:val="00F9628D"/>
    <w:rsid w:val="00FA7236"/>
    <w:rsid w:val="00FB5C90"/>
    <w:rsid w:val="00FB743F"/>
    <w:rsid w:val="00FD008F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3C7017411B4EA797E98AD516176C" ma:contentTypeVersion="10" ma:contentTypeDescription="Create a new document." ma:contentTypeScope="" ma:versionID="1295050463d0f248b6f8e226f54abb22">
  <xsd:schema xmlns:xsd="http://www.w3.org/2001/XMLSchema" xmlns:xs="http://www.w3.org/2001/XMLSchema" xmlns:p="http://schemas.microsoft.com/office/2006/metadata/properties" xmlns:ns2="d5754134-0dc8-452a-97cb-134c4e77c2a6" xmlns:ns3="6198258f-d695-4562-b794-23fc47939127" targetNamespace="http://schemas.microsoft.com/office/2006/metadata/properties" ma:root="true" ma:fieldsID="7c439c226f263b4b2c624af8b4d1642b" ns2:_="" ns3:_="">
    <xsd:import namespace="d5754134-0dc8-452a-97cb-134c4e77c2a6"/>
    <xsd:import namespace="6198258f-d695-4562-b794-23fc47939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4134-0dc8-452a-97cb-134c4e77c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D8A00-12A7-4633-81DF-37535FB7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4134-0dc8-452a-97cb-134c4e77c2a6"/>
    <ds:schemaRef ds:uri="6198258f-d695-4562-b794-23fc4793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4BB5A-68DC-4495-9715-38A24EE3608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d5754134-0dc8-452a-97cb-134c4e77c2a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198258f-d695-4562-b794-23fc47939127"/>
  </ds:schemaRefs>
</ds:datastoreItem>
</file>

<file path=customXml/itemProps3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Jayna Mistry</cp:lastModifiedBy>
  <cp:revision>40</cp:revision>
  <dcterms:created xsi:type="dcterms:W3CDTF">2019-02-18T14:58:00Z</dcterms:created>
  <dcterms:modified xsi:type="dcterms:W3CDTF">2019-03-21T13:38:00Z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0x01010057C23C7017411B4EA797E98AD516176C</vt:lpwstr>
  </property>
  <property fmtid="{D5CDD505-2E9C-101B-9397-08002B2CF9AE}" pid="3" name="MSIP_Label_a731d191-7088-4eb1-ab06-b12dc07093e5_Enabled">
    <vt:lpwstr>True</vt:lpwstr>
  </property>
  <property fmtid="{D5CDD505-2E9C-101B-9397-08002B2CF9AE}" pid="4" name="MSIP_Label_a731d191-7088-4eb1-ab06-b12dc07093e5_SiteId">
    <vt:lpwstr>f032b319-4799-4e8e-a918-210123fcbf8b</vt:lpwstr>
  </property>
  <property fmtid="{D5CDD505-2E9C-101B-9397-08002B2CF9AE}" pid="5" name="MSIP_Label_a731d191-7088-4eb1-ab06-b12dc07093e5_Owner">
    <vt:lpwstr>Tanya.Nolan@lgpscentral.co.uk</vt:lpwstr>
  </property>
  <property fmtid="{D5CDD505-2E9C-101B-9397-08002B2CF9AE}" pid="6" name="MSIP_Label_a731d191-7088-4eb1-ab06-b12dc07093e5_SetDate">
    <vt:lpwstr>2019-02-18T14:11:49.5281900Z</vt:lpwstr>
  </property>
  <property fmtid="{D5CDD505-2E9C-101B-9397-08002B2CF9AE}" pid="7" name="MSIP_Label_a731d191-7088-4eb1-ab06-b12dc07093e5_Name">
    <vt:lpwstr>Internal</vt:lpwstr>
  </property>
  <property fmtid="{D5CDD505-2E9C-101B-9397-08002B2CF9AE}" pid="8" name="MSIP_Label_a731d191-7088-4eb1-ab06-b12dc07093e5_Application">
    <vt:lpwstr>Microsoft Azure Information Protection</vt:lpwstr>
  </property>
  <property fmtid="{D5CDD505-2E9C-101B-9397-08002B2CF9AE}" pid="9" name="MSIP_Label_a731d191-7088-4eb1-ab06-b12dc07093e5_Extended_MSFT_Method">
    <vt:lpwstr>Manual</vt:lpwstr>
  </property>
  <property fmtid="{D5CDD505-2E9C-101B-9397-08002B2CF9AE}" pid="10" name="Sensitivity">
    <vt:lpwstr>Internal</vt:lpwstr>
  </property>
</Properties>
</file>