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1766E" w14:textId="0CF1EBC3" w:rsidR="00EC340A" w:rsidRPr="006E46FD" w:rsidRDefault="00EC340A" w:rsidP="00B90EF7">
      <w:pPr>
        <w:pStyle w:val="NoSpacing"/>
        <w:ind w:left="-709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>ROLE:</w:t>
      </w:r>
      <w:r w:rsidR="00F33268" w:rsidRPr="006E46FD">
        <w:rPr>
          <w:rFonts w:cstheme="minorHAnsi"/>
          <w:sz w:val="20"/>
          <w:szCs w:val="20"/>
        </w:rPr>
        <w:t xml:space="preserve"> </w:t>
      </w:r>
      <w:r w:rsidR="006E46FD">
        <w:rPr>
          <w:rFonts w:cstheme="minorHAnsi"/>
          <w:sz w:val="20"/>
          <w:szCs w:val="20"/>
        </w:rPr>
        <w:t xml:space="preserve"> </w:t>
      </w:r>
      <w:r w:rsidR="00F41FC9">
        <w:rPr>
          <w:rFonts w:cstheme="minorHAnsi"/>
          <w:sz w:val="20"/>
          <w:szCs w:val="20"/>
        </w:rPr>
        <w:t>Investment Analyst</w:t>
      </w:r>
      <w:r w:rsidR="00C90A3E">
        <w:rPr>
          <w:rFonts w:cstheme="minorHAnsi"/>
          <w:sz w:val="20"/>
          <w:szCs w:val="20"/>
        </w:rPr>
        <w:t xml:space="preserve">, </w:t>
      </w:r>
      <w:r w:rsidR="00C90A3E" w:rsidRPr="00C90A3E">
        <w:rPr>
          <w:rFonts w:cstheme="minorHAnsi"/>
          <w:sz w:val="20"/>
          <w:szCs w:val="20"/>
        </w:rPr>
        <w:t>Active Equity</w:t>
      </w:r>
    </w:p>
    <w:p w14:paraId="12BF68D5" w14:textId="4F09AC23" w:rsidR="00B90EF7" w:rsidRPr="006E46FD" w:rsidRDefault="00EC340A" w:rsidP="00C90A3E">
      <w:pPr>
        <w:pStyle w:val="NoSpacing"/>
        <w:ind w:left="-709" w:right="-643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>GRADE:</w:t>
      </w:r>
      <w:r w:rsidR="003542E9" w:rsidRPr="006E46FD">
        <w:rPr>
          <w:rFonts w:cstheme="minorHAnsi"/>
          <w:sz w:val="20"/>
          <w:szCs w:val="20"/>
        </w:rPr>
        <w:tab/>
      </w:r>
      <w:r w:rsidR="00C90A3E" w:rsidRPr="00C90A3E">
        <w:rPr>
          <w:rFonts w:cstheme="minorHAnsi"/>
          <w:sz w:val="20"/>
          <w:szCs w:val="20"/>
        </w:rPr>
        <w:t xml:space="preserve">Grade </w:t>
      </w:r>
      <w:r w:rsidR="00F41FC9">
        <w:rPr>
          <w:rFonts w:cstheme="minorHAnsi"/>
          <w:sz w:val="20"/>
          <w:szCs w:val="20"/>
        </w:rPr>
        <w:t>B £25,000-£40000</w:t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3E6B72" w:rsidRPr="006E46FD">
        <w:rPr>
          <w:rFonts w:cstheme="minorHAnsi"/>
          <w:sz w:val="20"/>
          <w:szCs w:val="20"/>
        </w:rPr>
        <w:tab/>
      </w:r>
      <w:r w:rsidR="00B90EF7" w:rsidRPr="006E46FD">
        <w:rPr>
          <w:rFonts w:cstheme="minorHAnsi"/>
          <w:sz w:val="20"/>
          <w:szCs w:val="20"/>
        </w:rPr>
        <w:tab/>
      </w:r>
      <w:r w:rsidR="00B90EF7" w:rsidRPr="006E46FD">
        <w:rPr>
          <w:rFonts w:cstheme="minorHAnsi"/>
          <w:sz w:val="20"/>
          <w:szCs w:val="20"/>
        </w:rPr>
        <w:tab/>
      </w:r>
    </w:p>
    <w:p w14:paraId="6D462A26" w14:textId="7F529A8A" w:rsidR="003542E9" w:rsidRPr="006E46FD" w:rsidRDefault="006F31B6" w:rsidP="0061488E">
      <w:pPr>
        <w:pStyle w:val="NoSpacing"/>
        <w:ind w:left="-709" w:right="-643"/>
        <w:rPr>
          <w:rFonts w:cstheme="minorHAnsi"/>
          <w:sz w:val="20"/>
          <w:szCs w:val="20"/>
        </w:rPr>
      </w:pPr>
      <w:r w:rsidRPr="006E46FD">
        <w:rPr>
          <w:rFonts w:cstheme="minorHAnsi"/>
          <w:sz w:val="20"/>
          <w:szCs w:val="20"/>
        </w:rPr>
        <w:t>Date:</w:t>
      </w:r>
      <w:r w:rsidR="005C55E5" w:rsidRPr="006E46FD">
        <w:rPr>
          <w:rFonts w:cstheme="minorHAnsi"/>
          <w:sz w:val="20"/>
          <w:szCs w:val="20"/>
        </w:rPr>
        <w:t xml:space="preserve"> </w:t>
      </w:r>
      <w:r w:rsidRPr="006E46FD">
        <w:rPr>
          <w:rFonts w:cstheme="minorHAnsi"/>
          <w:sz w:val="20"/>
          <w:szCs w:val="20"/>
        </w:rPr>
        <w:t xml:space="preserve"> </w:t>
      </w:r>
      <w:r w:rsidR="00F41FC9">
        <w:rPr>
          <w:rFonts w:cstheme="minorHAnsi"/>
          <w:sz w:val="20"/>
          <w:szCs w:val="20"/>
        </w:rPr>
        <w:t>May</w:t>
      </w:r>
      <w:r w:rsidR="00C90A3E">
        <w:rPr>
          <w:rFonts w:cstheme="minorHAnsi"/>
          <w:sz w:val="20"/>
          <w:szCs w:val="20"/>
        </w:rPr>
        <w:t xml:space="preserve"> 2019</w:t>
      </w:r>
    </w:p>
    <w:tbl>
      <w:tblPr>
        <w:tblStyle w:val="TableGrid"/>
        <w:tblW w:w="15309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4990"/>
        <w:gridCol w:w="3883"/>
        <w:gridCol w:w="3855"/>
        <w:gridCol w:w="2581"/>
      </w:tblGrid>
      <w:tr w:rsidR="003E6B72" w:rsidRPr="006E46FD" w14:paraId="36873312" w14:textId="77777777" w:rsidTr="002844ED">
        <w:tc>
          <w:tcPr>
            <w:tcW w:w="4990" w:type="dxa"/>
            <w:shd w:val="clear" w:color="auto" w:fill="A8D08D" w:themeFill="accent6" w:themeFillTint="99"/>
          </w:tcPr>
          <w:p w14:paraId="3F514E0E" w14:textId="2C14FBF4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Role</w:t>
            </w:r>
          </w:p>
        </w:tc>
        <w:tc>
          <w:tcPr>
            <w:tcW w:w="3883" w:type="dxa"/>
            <w:shd w:val="clear" w:color="auto" w:fill="A8D08D" w:themeFill="accent6" w:themeFillTint="99"/>
          </w:tcPr>
          <w:p w14:paraId="2D2C49FA" w14:textId="54A1DB53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do</w:t>
            </w:r>
          </w:p>
        </w:tc>
        <w:tc>
          <w:tcPr>
            <w:tcW w:w="3855" w:type="dxa"/>
            <w:shd w:val="clear" w:color="auto" w:fill="A8D08D" w:themeFill="accent6" w:themeFillTint="99"/>
          </w:tcPr>
          <w:p w14:paraId="171EBBF6" w14:textId="4751D7F9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Need to know</w:t>
            </w:r>
          </w:p>
        </w:tc>
        <w:tc>
          <w:tcPr>
            <w:tcW w:w="2581" w:type="dxa"/>
            <w:shd w:val="clear" w:color="auto" w:fill="A8D08D" w:themeFill="accent6" w:themeFillTint="99"/>
          </w:tcPr>
          <w:p w14:paraId="111D926E" w14:textId="29A09BCD" w:rsidR="00EC340A" w:rsidRPr="006E46FD" w:rsidRDefault="00EC340A" w:rsidP="00EC340A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Values and Behaviours</w:t>
            </w:r>
          </w:p>
        </w:tc>
      </w:tr>
      <w:tr w:rsidR="003E6B72" w:rsidRPr="006E46FD" w14:paraId="16E62AA6" w14:textId="77777777" w:rsidTr="00901032">
        <w:tc>
          <w:tcPr>
            <w:tcW w:w="4990" w:type="dxa"/>
            <w:shd w:val="clear" w:color="auto" w:fill="auto"/>
          </w:tcPr>
          <w:p w14:paraId="70DCCF61" w14:textId="77777777" w:rsidR="00B317E5" w:rsidRDefault="00B317E5" w:rsidP="00C90A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26515628"/>
          </w:p>
          <w:p w14:paraId="4256EAAB" w14:textId="49909399" w:rsidR="00C90A3E" w:rsidRPr="00C90A3E" w:rsidRDefault="00C90A3E" w:rsidP="00C90A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 xml:space="preserve">LGPS Central is looking for experienced investors to join our Active Equity Investment Team as </w:t>
            </w:r>
            <w:r w:rsidR="00F41FC9">
              <w:rPr>
                <w:rFonts w:asciiTheme="minorHAnsi" w:hAnsiTheme="minorHAnsi" w:cstheme="minorHAnsi"/>
                <w:sz w:val="20"/>
                <w:szCs w:val="20"/>
              </w:rPr>
              <w:t>Investment Analysts</w:t>
            </w: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. Based in the Midlands (Wolverhampton</w:t>
            </w:r>
            <w:r w:rsidR="000F42B0">
              <w:rPr>
                <w:rFonts w:asciiTheme="minorHAnsi" w:hAnsiTheme="minorHAnsi" w:cstheme="minorHAnsi"/>
                <w:sz w:val="20"/>
                <w:szCs w:val="20"/>
              </w:rPr>
              <w:t xml:space="preserve"> or Matlock</w:t>
            </w: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), the successful candidates will report to a Senior Portfolio Manager in the Active Equity department.</w:t>
            </w:r>
          </w:p>
          <w:p w14:paraId="1B758375" w14:textId="77777777" w:rsidR="00C90A3E" w:rsidRPr="00C90A3E" w:rsidRDefault="00C90A3E" w:rsidP="00C90A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B30988" w14:textId="071D2EC2" w:rsidR="00C90A3E" w:rsidRPr="00C90A3E" w:rsidRDefault="00C90A3E" w:rsidP="00C90A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 xml:space="preserve">You will work with your peers in the Active Equity Investment Team to build a professional, high performing investment function. Specific responsibilities will include equity analysis, </w:t>
            </w:r>
            <w:r w:rsidR="00F41FC9">
              <w:rPr>
                <w:rFonts w:asciiTheme="minorHAnsi" w:hAnsiTheme="minorHAnsi" w:cstheme="minorHAnsi"/>
                <w:sz w:val="20"/>
                <w:szCs w:val="20"/>
              </w:rPr>
              <w:t>assisting</w:t>
            </w: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 xml:space="preserve"> equity portfolios and multi-manager portfolios, and implementing the investment, responsible investment, and risk and compliance policies set by the Investment Committee within the portfolios for which you are responsible.</w:t>
            </w:r>
          </w:p>
          <w:bookmarkEnd w:id="0"/>
          <w:p w14:paraId="41B66CCE" w14:textId="620CC129" w:rsidR="00C90A3E" w:rsidRDefault="00C90A3E" w:rsidP="00C90A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5B24BA" w14:textId="77777777" w:rsidR="00B317E5" w:rsidRPr="00C90A3E" w:rsidRDefault="00B317E5" w:rsidP="00C90A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653951" w14:textId="77777777" w:rsidR="006E46FD" w:rsidRPr="006E46FD" w:rsidRDefault="006E46FD" w:rsidP="006E4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Financial</w:t>
            </w:r>
          </w:p>
          <w:p w14:paraId="278228E6" w14:textId="1CB14ECD" w:rsidR="00C90A3E" w:rsidRPr="0038156E" w:rsidRDefault="00F41FC9" w:rsidP="00C90A3E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Assisting in </w:t>
            </w:r>
            <w:r w:rsidRPr="0038156E">
              <w:rPr>
                <w:rFonts w:asciiTheme="minorHAnsi" w:hAnsiTheme="minorHAnsi" w:cstheme="minorHAnsi"/>
                <w:sz w:val="20"/>
                <w:szCs w:val="20"/>
              </w:rPr>
              <w:t>managing</w:t>
            </w:r>
            <w:r w:rsidR="0038156E" w:rsidRPr="0038156E">
              <w:rPr>
                <w:rFonts w:asciiTheme="minorHAnsi" w:hAnsiTheme="minorHAnsi" w:cstheme="minorHAnsi"/>
                <w:sz w:val="20"/>
                <w:szCs w:val="20"/>
              </w:rPr>
              <w:t xml:space="preserve"> £500m to £1bn across various products</w:t>
            </w:r>
          </w:p>
          <w:p w14:paraId="73B8C422" w14:textId="77777777" w:rsidR="00C90A3E" w:rsidRDefault="00C90A3E" w:rsidP="006E4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00A0F95" w14:textId="10645538" w:rsidR="006E46FD" w:rsidRPr="006E46FD" w:rsidRDefault="006E46FD" w:rsidP="00B317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Non-Financial</w:t>
            </w:r>
          </w:p>
          <w:p w14:paraId="7D04BF63" w14:textId="77777777" w:rsidR="006E46FD" w:rsidRPr="006E46FD" w:rsidRDefault="006E46FD" w:rsidP="006E46FD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noProof/>
                <w:sz w:val="20"/>
                <w:szCs w:val="20"/>
              </w:rPr>
              <w:t>Health and Safety</w:t>
            </w:r>
          </w:p>
          <w:p w14:paraId="3A2F2743" w14:textId="77777777" w:rsidR="006E46FD" w:rsidRPr="006E46FD" w:rsidRDefault="006E46FD" w:rsidP="006E46FD">
            <w:pPr>
              <w:ind w:left="34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01F734" w14:textId="5E2B7FA2" w:rsid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Delegated Authority Levels: </w:t>
            </w:r>
          </w:p>
          <w:p w14:paraId="45CC48A3" w14:textId="640ED91B" w:rsidR="00FE1C88" w:rsidRDefault="00B317E5" w:rsidP="00FE1C8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Investment Analyst</w:t>
            </w:r>
          </w:p>
          <w:p w14:paraId="28ABDE77" w14:textId="06133DAC" w:rsidR="00FA2036" w:rsidRDefault="00FA2036" w:rsidP="00FE1C8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Investment Trainee</w:t>
            </w:r>
          </w:p>
          <w:p w14:paraId="2B319C11" w14:textId="3C8D0128" w:rsidR="00FA2036" w:rsidRPr="00FE1C88" w:rsidRDefault="00AC6B82" w:rsidP="00FE1C8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Other as applicable to role </w:t>
            </w:r>
          </w:p>
          <w:p w14:paraId="6C7552C4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12317A" w14:textId="77777777" w:rsidR="00FE1C88" w:rsidRDefault="006E46FD" w:rsidP="006E4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Reports to: </w:t>
            </w:r>
          </w:p>
          <w:p w14:paraId="6BF510FA" w14:textId="33F2013C" w:rsidR="006E46FD" w:rsidRDefault="00C90A3E" w:rsidP="00FE1C8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E1C88">
              <w:rPr>
                <w:rFonts w:asciiTheme="minorHAnsi" w:hAnsiTheme="minorHAnsi" w:cstheme="minorHAnsi"/>
                <w:sz w:val="20"/>
                <w:szCs w:val="20"/>
              </w:rPr>
              <w:t>Senior Portfolio Manager</w:t>
            </w:r>
          </w:p>
          <w:p w14:paraId="6626305D" w14:textId="70945C55" w:rsidR="00B317E5" w:rsidRDefault="00B317E5" w:rsidP="00FE1C8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Investment Director</w:t>
            </w:r>
          </w:p>
          <w:p w14:paraId="06A71EE5" w14:textId="765362B5" w:rsidR="00B317E5" w:rsidRPr="00FE1C88" w:rsidRDefault="00B317E5" w:rsidP="00FE1C88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DCIO / CIO</w:t>
            </w:r>
          </w:p>
          <w:p w14:paraId="339936B0" w14:textId="77777777" w:rsidR="006E46FD" w:rsidRPr="006E46FD" w:rsidRDefault="006E46FD" w:rsidP="006E46F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3DF1F" w14:textId="77777777" w:rsidR="006E46FD" w:rsidRPr="006E46FD" w:rsidRDefault="006E46FD" w:rsidP="006E46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Relationships Internal: </w:t>
            </w:r>
          </w:p>
          <w:p w14:paraId="3623724B" w14:textId="77777777" w:rsidR="006E46FD" w:rsidRPr="00B317E5" w:rsidRDefault="006E46FD" w:rsidP="006E46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317E5">
              <w:rPr>
                <w:rFonts w:asciiTheme="minorHAnsi" w:hAnsiTheme="minorHAnsi" w:cstheme="minorHAnsi"/>
                <w:noProof/>
                <w:sz w:val="20"/>
                <w:szCs w:val="20"/>
              </w:rPr>
              <w:t>Executive Directors/ Board/NEDS/Heads/managers/ staff</w:t>
            </w:r>
          </w:p>
          <w:p w14:paraId="7BBEFA59" w14:textId="6D3C97C6" w:rsidR="006E46FD" w:rsidRPr="006E46FD" w:rsidRDefault="006E46FD" w:rsidP="006E46F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317E5">
              <w:rPr>
                <w:rFonts w:asciiTheme="minorHAnsi" w:hAnsiTheme="minorHAnsi" w:cstheme="minorHAnsi"/>
                <w:sz w:val="20"/>
                <w:szCs w:val="20"/>
              </w:rPr>
              <w:t>Stakeholders and Clients</w:t>
            </w:r>
          </w:p>
        </w:tc>
        <w:tc>
          <w:tcPr>
            <w:tcW w:w="3883" w:type="dxa"/>
          </w:tcPr>
          <w:p w14:paraId="1B295F8B" w14:textId="77777777" w:rsidR="00AA3402" w:rsidRPr="006E46FD" w:rsidRDefault="00AA3402" w:rsidP="0061488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96A1AF" w14:textId="7777777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Fundamental Equity Analysis and valuation with global sector responsibilities.</w:t>
            </w:r>
          </w:p>
          <w:p w14:paraId="3BC59270" w14:textId="6150439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F41FC9">
              <w:rPr>
                <w:rFonts w:asciiTheme="minorHAnsi" w:hAnsiTheme="minorHAnsi" w:cstheme="minorHAnsi"/>
                <w:sz w:val="20"/>
                <w:szCs w:val="20"/>
              </w:rPr>
              <w:t>onitoring</w:t>
            </w: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 xml:space="preserve"> of equity sub-funds / investment mandates. </w:t>
            </w:r>
          </w:p>
          <w:p w14:paraId="258FA0B1" w14:textId="7777777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Document and ensure that you meet the investment targets of the Partner Funds in respect of those sub-funds and mandates.</w:t>
            </w:r>
          </w:p>
          <w:p w14:paraId="12145D27" w14:textId="7777777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Under the supervision of the Senior Portfolio Manager integrate, document and maintain the Investment Committee’s investment policies applicable to the asset classes / portfolios for which you are responsible, in addition to observing the house policy on Responsible Investment and Engagement.</w:t>
            </w:r>
          </w:p>
          <w:p w14:paraId="32465325" w14:textId="7777777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Always manage risk and compliance in accordance with the Company’s Risk and Compliance Framework.</w:t>
            </w:r>
          </w:p>
          <w:p w14:paraId="4EF09233" w14:textId="4C44E189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Run investment mandates in a manner which will deliver value for money for Partner Funds whilst identifying opportunities to improve the risk adjusted returns after charges in your portfolios.</w:t>
            </w:r>
          </w:p>
          <w:p w14:paraId="7E258D9C" w14:textId="1BD55430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 xml:space="preserve">Provide documented assurance to the Senior Portfolio Manager that your </w:t>
            </w:r>
            <w:r w:rsidR="00F41FC9">
              <w:rPr>
                <w:rFonts w:asciiTheme="minorHAnsi" w:hAnsiTheme="minorHAnsi" w:cstheme="minorHAnsi"/>
                <w:sz w:val="20"/>
                <w:szCs w:val="20"/>
              </w:rPr>
              <w:t>recommendations</w:t>
            </w: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 xml:space="preserve"> are managed within </w:t>
            </w:r>
            <w:r w:rsidRPr="00C90A3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parameters set in the Prospectus and the IMA, and in accordance with the Company’s policies.</w:t>
            </w:r>
          </w:p>
          <w:p w14:paraId="01B686C6" w14:textId="7777777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Contribute to a rigorous culture of high performing, collaborative, research based and responsible investing across the Investment Team.</w:t>
            </w:r>
          </w:p>
          <w:p w14:paraId="53CA43A2" w14:textId="09D1B5FC" w:rsidR="00C90A3E" w:rsidRPr="00F41FC9" w:rsidRDefault="00C90A3E" w:rsidP="00F41FC9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Be an ambassador for LGPS Central within the investment community, Partner Funds, and with regulators and key stakeholders.</w:t>
            </w:r>
          </w:p>
          <w:p w14:paraId="11917047" w14:textId="7777777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Take ownership of tasks the Senior Portfolio Manager asks you to manage, for example trading, meeting companies, manager selection, transitions, investor relations and strategy development.</w:t>
            </w:r>
          </w:p>
          <w:p w14:paraId="138CFFC7" w14:textId="7777777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396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Under the direction of the Senior Portfolio Manager deliver a transparent, auditable and repeatable investment process.</w:t>
            </w:r>
          </w:p>
          <w:p w14:paraId="68972D1A" w14:textId="361905A2" w:rsidR="0061488E" w:rsidRPr="006E46FD" w:rsidRDefault="0061488E" w:rsidP="00C90A3E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55" w:type="dxa"/>
          </w:tcPr>
          <w:p w14:paraId="7D1CC25C" w14:textId="77777777" w:rsidR="00B317E5" w:rsidRDefault="00B317E5" w:rsidP="00EC34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526515655"/>
          </w:p>
          <w:p w14:paraId="474CE71B" w14:textId="299CBD74" w:rsidR="00EC340A" w:rsidRPr="006E46FD" w:rsidRDefault="00EC340A" w:rsidP="00EC34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Skills/Knowledge/Experience/Competence</w:t>
            </w:r>
            <w:r w:rsidR="006F31B6"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2CD321CA" w14:textId="7777777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495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Experience of collaborative investment decision making.</w:t>
            </w:r>
          </w:p>
          <w:p w14:paraId="3AC409DD" w14:textId="77777777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495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Demonstrates skill in selecting investments, documenting the rationale for making investments, portfolio construction, and monitoring.</w:t>
            </w:r>
          </w:p>
          <w:p w14:paraId="0DBB4811" w14:textId="620B85AF" w:rsidR="00C90A3E" w:rsidRPr="00C90A3E" w:rsidRDefault="00C90A3E" w:rsidP="00C90A3E">
            <w:pPr>
              <w:pStyle w:val="ListParagraph"/>
              <w:numPr>
                <w:ilvl w:val="0"/>
                <w:numId w:val="22"/>
              </w:numPr>
              <w:ind w:left="495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Equity analysis and stock picking.</w:t>
            </w:r>
          </w:p>
          <w:p w14:paraId="6CFE911B" w14:textId="26B600BC" w:rsidR="001C3182" w:rsidRDefault="00C90A3E" w:rsidP="00C90A3E">
            <w:pPr>
              <w:pStyle w:val="ListParagraph"/>
              <w:numPr>
                <w:ilvl w:val="0"/>
                <w:numId w:val="22"/>
              </w:numPr>
              <w:ind w:left="495"/>
              <w:rPr>
                <w:rFonts w:asciiTheme="minorHAnsi" w:hAnsiTheme="minorHAnsi" w:cstheme="minorHAnsi"/>
                <w:sz w:val="20"/>
                <w:szCs w:val="20"/>
              </w:rPr>
            </w:pPr>
            <w:r w:rsidRPr="00C90A3E">
              <w:rPr>
                <w:rFonts w:asciiTheme="minorHAnsi" w:hAnsiTheme="minorHAnsi" w:cstheme="minorHAnsi"/>
                <w:sz w:val="20"/>
                <w:szCs w:val="20"/>
              </w:rPr>
              <w:t>Can evaluate performance and risk of investment portfolios objectively.</w:t>
            </w:r>
          </w:p>
          <w:p w14:paraId="2F46FE45" w14:textId="77777777" w:rsidR="00C90A3E" w:rsidRPr="00C90A3E" w:rsidRDefault="00C90A3E" w:rsidP="00C90A3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DF950C" w14:textId="0E1C48B3" w:rsidR="00EC340A" w:rsidRPr="006E46FD" w:rsidRDefault="00EC340A" w:rsidP="00F7570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46FD">
              <w:rPr>
                <w:rFonts w:asciiTheme="minorHAnsi" w:hAnsiTheme="minorHAnsi" w:cstheme="minorHAnsi"/>
                <w:b/>
                <w:sz w:val="20"/>
                <w:szCs w:val="20"/>
              </w:rPr>
              <w:t>Qualifications</w:t>
            </w:r>
          </w:p>
          <w:bookmarkEnd w:id="1"/>
          <w:p w14:paraId="140B543E" w14:textId="77777777" w:rsidR="00D806FA" w:rsidRDefault="006E46FD" w:rsidP="00C90A3E">
            <w:pPr>
              <w:pStyle w:val="ListParagraph"/>
              <w:numPr>
                <w:ilvl w:val="0"/>
                <w:numId w:val="9"/>
              </w:numPr>
              <w:ind w:left="49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Degree level or equivalent </w:t>
            </w:r>
          </w:p>
          <w:p w14:paraId="132C2DFC" w14:textId="77777777" w:rsidR="0038156E" w:rsidRDefault="0038156E" w:rsidP="00C90A3E">
            <w:pPr>
              <w:pStyle w:val="ListParagraph"/>
              <w:numPr>
                <w:ilvl w:val="0"/>
                <w:numId w:val="9"/>
              </w:numPr>
              <w:ind w:left="49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CFA or working towards </w:t>
            </w:r>
          </w:p>
          <w:p w14:paraId="0AAA398E" w14:textId="3E1FD1E6" w:rsidR="0038156E" w:rsidRPr="006E46FD" w:rsidRDefault="0038156E" w:rsidP="00C90A3E">
            <w:pPr>
              <w:pStyle w:val="ListParagraph"/>
              <w:numPr>
                <w:ilvl w:val="0"/>
                <w:numId w:val="9"/>
              </w:numPr>
              <w:ind w:left="49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IMC</w:t>
            </w:r>
          </w:p>
        </w:tc>
        <w:tc>
          <w:tcPr>
            <w:tcW w:w="2581" w:type="dxa"/>
          </w:tcPr>
          <w:p w14:paraId="21C38B77" w14:textId="77777777" w:rsidR="00B317E5" w:rsidRDefault="00B317E5" w:rsidP="001C31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  <w:p w14:paraId="1990DD35" w14:textId="53593E9A" w:rsidR="001C3182" w:rsidRPr="006E46FD" w:rsidRDefault="001C3182" w:rsidP="001C31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Values:</w:t>
            </w:r>
          </w:p>
          <w:p w14:paraId="658303C2" w14:textId="77777777" w:rsidR="001C3182" w:rsidRPr="006E46FD" w:rsidRDefault="001C3182" w:rsidP="00C90A3E">
            <w:pPr>
              <w:pStyle w:val="NoSpacing"/>
              <w:numPr>
                <w:ilvl w:val="0"/>
                <w:numId w:val="9"/>
              </w:numPr>
              <w:ind w:left="467"/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Integrity</w:t>
            </w:r>
          </w:p>
          <w:p w14:paraId="6E342196" w14:textId="3034424C" w:rsidR="001C3182" w:rsidRPr="006E46FD" w:rsidRDefault="00A875CB" w:rsidP="00C90A3E">
            <w:pPr>
              <w:pStyle w:val="NoSpacing"/>
              <w:numPr>
                <w:ilvl w:val="0"/>
                <w:numId w:val="9"/>
              </w:numPr>
              <w:ind w:left="4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Cutting Edge</w:t>
            </w:r>
            <w:bookmarkStart w:id="2" w:name="_GoBack"/>
            <w:bookmarkEnd w:id="2"/>
          </w:p>
          <w:p w14:paraId="60F957D9" w14:textId="77777777" w:rsidR="001C3182" w:rsidRPr="006E46FD" w:rsidRDefault="001C3182" w:rsidP="00C90A3E">
            <w:pPr>
              <w:pStyle w:val="NoSpacing"/>
              <w:numPr>
                <w:ilvl w:val="0"/>
                <w:numId w:val="9"/>
              </w:numPr>
              <w:ind w:left="467"/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Supportive Workplace</w:t>
            </w:r>
          </w:p>
          <w:p w14:paraId="58AC1073" w14:textId="77777777" w:rsidR="001C3182" w:rsidRPr="006E46FD" w:rsidRDefault="001C3182" w:rsidP="00C90A3E">
            <w:pPr>
              <w:pStyle w:val="NoSpacing"/>
              <w:numPr>
                <w:ilvl w:val="0"/>
                <w:numId w:val="9"/>
              </w:numPr>
              <w:ind w:left="467"/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Togetherness</w:t>
            </w:r>
          </w:p>
          <w:p w14:paraId="5BFFE5D7" w14:textId="32F59F81" w:rsidR="001C3182" w:rsidRPr="006E46FD" w:rsidRDefault="00A875CB" w:rsidP="00C90A3E">
            <w:pPr>
              <w:pStyle w:val="NoSpacing"/>
              <w:numPr>
                <w:ilvl w:val="0"/>
                <w:numId w:val="9"/>
              </w:numPr>
              <w:ind w:left="46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Client</w:t>
            </w:r>
            <w:r w:rsidR="001C3182" w:rsidRPr="006E46FD">
              <w:rPr>
                <w:rFonts w:cstheme="minorHAnsi"/>
                <w:sz w:val="20"/>
                <w:szCs w:val="20"/>
              </w:rPr>
              <w:t xml:space="preserve"> Focus </w:t>
            </w:r>
          </w:p>
          <w:p w14:paraId="03214FB0" w14:textId="77777777" w:rsidR="001C3182" w:rsidRPr="006E46FD" w:rsidRDefault="001C3182" w:rsidP="001C3182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2FFAB99A" w14:textId="77777777" w:rsidR="001C3182" w:rsidRPr="006E46FD" w:rsidRDefault="001C3182" w:rsidP="001C31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6E46FD">
              <w:rPr>
                <w:rFonts w:cstheme="minorHAnsi"/>
                <w:b/>
                <w:sz w:val="20"/>
                <w:szCs w:val="20"/>
              </w:rPr>
              <w:t>Behaviours:</w:t>
            </w:r>
          </w:p>
          <w:p w14:paraId="40AF184C" w14:textId="77777777" w:rsidR="001C3182" w:rsidRPr="006E46FD" w:rsidRDefault="001C3182" w:rsidP="00C90A3E">
            <w:pPr>
              <w:pStyle w:val="NoSpacing"/>
              <w:numPr>
                <w:ilvl w:val="0"/>
                <w:numId w:val="17"/>
              </w:numPr>
              <w:ind w:left="467"/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Open, fair and transparent</w:t>
            </w:r>
          </w:p>
          <w:p w14:paraId="1843F3CD" w14:textId="77777777" w:rsidR="001C3182" w:rsidRPr="006E46FD" w:rsidRDefault="001C3182" w:rsidP="00C90A3E">
            <w:pPr>
              <w:pStyle w:val="NoSpacing"/>
              <w:numPr>
                <w:ilvl w:val="0"/>
                <w:numId w:val="17"/>
              </w:numPr>
              <w:ind w:left="467"/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Honest and trustworthy</w:t>
            </w:r>
          </w:p>
          <w:p w14:paraId="01ECD14C" w14:textId="77777777" w:rsidR="001C3182" w:rsidRPr="006E46FD" w:rsidRDefault="001C3182" w:rsidP="00C90A3E">
            <w:pPr>
              <w:pStyle w:val="NoSpacing"/>
              <w:numPr>
                <w:ilvl w:val="0"/>
                <w:numId w:val="17"/>
              </w:numPr>
              <w:ind w:left="467"/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Empowered in making right decisions</w:t>
            </w:r>
          </w:p>
          <w:p w14:paraId="75261192" w14:textId="77777777" w:rsidR="001C3182" w:rsidRPr="006E46FD" w:rsidRDefault="001C3182" w:rsidP="00C90A3E">
            <w:pPr>
              <w:pStyle w:val="NoSpacing"/>
              <w:numPr>
                <w:ilvl w:val="0"/>
                <w:numId w:val="17"/>
              </w:numPr>
              <w:ind w:left="467"/>
              <w:rPr>
                <w:rFonts w:cstheme="minorHAnsi"/>
                <w:sz w:val="20"/>
                <w:szCs w:val="20"/>
              </w:rPr>
            </w:pPr>
            <w:r w:rsidRPr="006E46FD">
              <w:rPr>
                <w:rFonts w:cstheme="minorHAnsi"/>
                <w:sz w:val="20"/>
                <w:szCs w:val="20"/>
              </w:rPr>
              <w:t>Accountability for results and delivery</w:t>
            </w:r>
          </w:p>
          <w:p w14:paraId="3F6EC0C5" w14:textId="47A63F95" w:rsidR="003E6B72" w:rsidRPr="006E46FD" w:rsidRDefault="003E6B72" w:rsidP="00505320">
            <w:pPr>
              <w:ind w:left="1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1EBF03E" w14:textId="77777777" w:rsidR="002169F7" w:rsidRPr="006E46FD" w:rsidRDefault="002169F7" w:rsidP="003542E9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FBD023E" w14:textId="492FCF57" w:rsidR="003542E9" w:rsidRPr="006E46FD" w:rsidRDefault="003542E9" w:rsidP="00D93E56">
      <w:pPr>
        <w:ind w:left="-709"/>
        <w:rPr>
          <w:rFonts w:asciiTheme="minorHAnsi" w:hAnsiTheme="minorHAnsi" w:cstheme="minorHAnsi"/>
          <w:iCs/>
          <w:sz w:val="20"/>
          <w:szCs w:val="20"/>
        </w:rPr>
      </w:pPr>
      <w:r w:rsidRPr="006E46FD">
        <w:rPr>
          <w:rFonts w:asciiTheme="minorHAnsi" w:hAnsiTheme="minorHAnsi" w:cstheme="minorHAnsi"/>
          <w:iCs/>
          <w:sz w:val="20"/>
          <w:szCs w:val="20"/>
        </w:rPr>
        <w:t>LGPS Central Limited provides an exciting, supportive and family-friendly working environment, and we are committed to helping our people achieve their full potential and a healthy work-life balance.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We are an inclusive employer and offer equal opportunities to all regardless of an individual’s age, disability, gender identity, marriage or civil partnership</w:t>
      </w:r>
      <w:r w:rsidR="005C55E5" w:rsidRPr="006E46FD">
        <w:rPr>
          <w:rFonts w:asciiTheme="minorHAnsi" w:hAnsiTheme="minorHAnsi" w:cstheme="minorHAnsi"/>
          <w:iCs/>
          <w:sz w:val="20"/>
          <w:szCs w:val="20"/>
        </w:rPr>
        <w:t xml:space="preserve">, </w:t>
      </w:r>
      <w:r w:rsidRPr="006E46FD">
        <w:rPr>
          <w:rFonts w:asciiTheme="minorHAnsi" w:hAnsiTheme="minorHAnsi" w:cstheme="minorHAnsi"/>
          <w:iCs/>
          <w:sz w:val="20"/>
          <w:szCs w:val="20"/>
        </w:rPr>
        <w:t>status, pregnancy or maternity, race, religion or belief, sex and sexual orientation.</w:t>
      </w:r>
      <w:r w:rsidR="00D93E56" w:rsidRPr="006E46FD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6E46FD">
        <w:rPr>
          <w:rFonts w:asciiTheme="minorHAnsi" w:hAnsiTheme="minorHAnsi" w:cstheme="minorHAnsi"/>
          <w:iCs/>
          <w:sz w:val="20"/>
          <w:szCs w:val="20"/>
        </w:rPr>
        <w:t>Candidates who declare that they have a disability and who meet the essential criteria for the job will be offered an interview.</w:t>
      </w:r>
    </w:p>
    <w:p w14:paraId="38F03304" w14:textId="77777777" w:rsidR="003542E9" w:rsidRPr="006E46FD" w:rsidRDefault="003542E9" w:rsidP="00EC340A">
      <w:pPr>
        <w:pStyle w:val="NoSpacing"/>
        <w:rPr>
          <w:rFonts w:cstheme="minorHAnsi"/>
          <w:sz w:val="20"/>
          <w:szCs w:val="20"/>
        </w:rPr>
      </w:pPr>
    </w:p>
    <w:sectPr w:rsidR="003542E9" w:rsidRPr="006E46FD" w:rsidSect="0058718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3D899" w14:textId="77777777" w:rsidR="00AB0B11" w:rsidRDefault="00AB0B11" w:rsidP="005C55E5">
      <w:r>
        <w:separator/>
      </w:r>
    </w:p>
  </w:endnote>
  <w:endnote w:type="continuationSeparator" w:id="0">
    <w:p w14:paraId="53B0C6E1" w14:textId="77777777" w:rsidR="00AB0B11" w:rsidRDefault="00AB0B11" w:rsidP="005C55E5">
      <w:r>
        <w:continuationSeparator/>
      </w:r>
    </w:p>
  </w:endnote>
  <w:endnote w:type="continuationNotice" w:id="1">
    <w:p w14:paraId="28B8C004" w14:textId="77777777" w:rsidR="004A50A1" w:rsidRDefault="004A50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F37B7" w14:textId="77777777" w:rsidR="00AB0B11" w:rsidRDefault="00AB0B11" w:rsidP="005C55E5">
      <w:r>
        <w:separator/>
      </w:r>
    </w:p>
  </w:footnote>
  <w:footnote w:type="continuationSeparator" w:id="0">
    <w:p w14:paraId="30184768" w14:textId="77777777" w:rsidR="00AB0B11" w:rsidRDefault="00AB0B11" w:rsidP="005C55E5">
      <w:r>
        <w:continuationSeparator/>
      </w:r>
    </w:p>
  </w:footnote>
  <w:footnote w:type="continuationNotice" w:id="1">
    <w:p w14:paraId="4546651B" w14:textId="77777777" w:rsidR="004A50A1" w:rsidRDefault="004A50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45F7" w14:textId="2F8B8886" w:rsidR="005C55E5" w:rsidRDefault="00F41FC9" w:rsidP="005C55E5">
    <w:pPr>
      <w:pStyle w:val="Header"/>
      <w:jc w:val="right"/>
    </w:pPr>
    <w:r>
      <w:rPr>
        <w:rFonts w:cstheme="minorHAnsi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014CEE" wp14:editId="48315F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2" name="MSIPCMafa042d89caf3108a5f93f9d" descr="{&quot;HashCode&quot;:-124442312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EFC50D" w14:textId="699B8599" w:rsidR="00F41FC9" w:rsidRPr="00F41FC9" w:rsidRDefault="00F41FC9" w:rsidP="00F41FC9">
                          <w:pPr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F41FC9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Classified as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14CEE" id="_x0000_t202" coordsize="21600,21600" o:spt="202" path="m,l,21600r21600,l21600,xe">
              <v:stroke joinstyle="miter"/>
              <v:path gradientshapeok="t" o:connecttype="rect"/>
            </v:shapetype>
            <v:shape id="MSIPCMafa042d89caf3108a5f93f9d" o:spid="_x0000_s1026" type="#_x0000_t202" alt="{&quot;HashCode&quot;:-1244423123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" o:allowincell="f" filled="f" stroked="f" strokeweight=".5pt">
              <v:textbox inset="20pt,0,,0">
                <w:txbxContent>
                  <w:p w14:paraId="2CEFC50D" w14:textId="699B8599" w:rsidR="00F41FC9" w:rsidRPr="00F41FC9" w:rsidRDefault="00F41FC9" w:rsidP="00F41FC9">
                    <w:pPr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F41FC9">
                      <w:rPr>
                        <w:rFonts w:ascii="Calibri" w:hAnsi="Calibri" w:cs="Calibri"/>
                        <w:color w:val="000000"/>
                        <w:sz w:val="22"/>
                      </w:rPr>
                      <w:t>Classified as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C55E5" w:rsidRPr="00A011D1">
      <w:rPr>
        <w:rFonts w:cstheme="minorHAnsi"/>
        <w:noProof/>
        <w:sz w:val="20"/>
        <w:szCs w:val="20"/>
        <w:lang w:eastAsia="en-GB"/>
      </w:rPr>
      <w:drawing>
        <wp:inline distT="0" distB="0" distL="0" distR="0" wp14:anchorId="42E3E823" wp14:editId="3C4D6FB1">
          <wp:extent cx="1533525" cy="630555"/>
          <wp:effectExtent l="0" t="0" r="9525" b="0"/>
          <wp:docPr id="1" name="Picture 1" descr="cid:e57740a2-e5a3-4630-923c-2bf83d2fa8ad@icloud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e57740a2-e5a3-4630-923c-2bf83d2fa8ad@icloud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52" cy="661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5BE4"/>
    <w:multiLevelType w:val="hybridMultilevel"/>
    <w:tmpl w:val="2294D5D8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213E"/>
    <w:multiLevelType w:val="hybridMultilevel"/>
    <w:tmpl w:val="3EF0DB2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B0002"/>
    <w:multiLevelType w:val="hybridMultilevel"/>
    <w:tmpl w:val="64661D8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64737"/>
    <w:multiLevelType w:val="hybridMultilevel"/>
    <w:tmpl w:val="9308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0A8"/>
    <w:multiLevelType w:val="hybridMultilevel"/>
    <w:tmpl w:val="7FD82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65C6E"/>
    <w:multiLevelType w:val="hybridMultilevel"/>
    <w:tmpl w:val="46F495F4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269"/>
    <w:multiLevelType w:val="hybridMultilevel"/>
    <w:tmpl w:val="05CCBD6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34FA4"/>
    <w:multiLevelType w:val="hybridMultilevel"/>
    <w:tmpl w:val="0B5A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1C01"/>
    <w:multiLevelType w:val="hybridMultilevel"/>
    <w:tmpl w:val="F8F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3583F"/>
    <w:multiLevelType w:val="hybridMultilevel"/>
    <w:tmpl w:val="5552AC86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F33FC"/>
    <w:multiLevelType w:val="hybridMultilevel"/>
    <w:tmpl w:val="334AE866"/>
    <w:lvl w:ilvl="0" w:tplc="EBBE88E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3894"/>
    <w:multiLevelType w:val="hybridMultilevel"/>
    <w:tmpl w:val="82E4E442"/>
    <w:lvl w:ilvl="0" w:tplc="1D3AAF38">
      <w:start w:val="1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66C29"/>
    <w:multiLevelType w:val="hybridMultilevel"/>
    <w:tmpl w:val="8020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D0B5E"/>
    <w:multiLevelType w:val="hybridMultilevel"/>
    <w:tmpl w:val="B01000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14EE7"/>
    <w:multiLevelType w:val="hybridMultilevel"/>
    <w:tmpl w:val="8BD4D9F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E1A56"/>
    <w:multiLevelType w:val="hybridMultilevel"/>
    <w:tmpl w:val="2C9C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20DE1"/>
    <w:multiLevelType w:val="hybridMultilevel"/>
    <w:tmpl w:val="52169A90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5100E"/>
    <w:multiLevelType w:val="hybridMultilevel"/>
    <w:tmpl w:val="27D0AC9C"/>
    <w:lvl w:ilvl="0" w:tplc="8A9878E2">
      <w:start w:val="10"/>
      <w:numFmt w:val="bullet"/>
      <w:lvlText w:val=""/>
      <w:lvlJc w:val="left"/>
      <w:pPr>
        <w:ind w:left="10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741A63C7"/>
    <w:multiLevelType w:val="hybridMultilevel"/>
    <w:tmpl w:val="23F4A11A"/>
    <w:lvl w:ilvl="0" w:tplc="8A9878E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4766F"/>
    <w:multiLevelType w:val="singleLevel"/>
    <w:tmpl w:val="D886374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 w15:restartNumberingAfterBreak="0">
    <w:nsid w:val="778B5C7F"/>
    <w:multiLevelType w:val="hybridMultilevel"/>
    <w:tmpl w:val="35042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F0C0A"/>
    <w:multiLevelType w:val="hybridMultilevel"/>
    <w:tmpl w:val="6A000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5"/>
  </w:num>
  <w:num w:numId="7">
    <w:abstractNumId w:val="9"/>
  </w:num>
  <w:num w:numId="8">
    <w:abstractNumId w:val="16"/>
  </w:num>
  <w:num w:numId="9">
    <w:abstractNumId w:val="1"/>
  </w:num>
  <w:num w:numId="10">
    <w:abstractNumId w:val="17"/>
  </w:num>
  <w:num w:numId="11">
    <w:abstractNumId w:val="18"/>
  </w:num>
  <w:num w:numId="12">
    <w:abstractNumId w:val="15"/>
  </w:num>
  <w:num w:numId="13">
    <w:abstractNumId w:val="8"/>
  </w:num>
  <w:num w:numId="14">
    <w:abstractNumId w:val="3"/>
  </w:num>
  <w:num w:numId="15">
    <w:abstractNumId w:val="12"/>
  </w:num>
  <w:num w:numId="16">
    <w:abstractNumId w:val="4"/>
  </w:num>
  <w:num w:numId="17">
    <w:abstractNumId w:val="14"/>
  </w:num>
  <w:num w:numId="18">
    <w:abstractNumId w:val="0"/>
  </w:num>
  <w:num w:numId="19">
    <w:abstractNumId w:val="6"/>
  </w:num>
  <w:num w:numId="20">
    <w:abstractNumId w:val="20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A3"/>
    <w:rsid w:val="00001E89"/>
    <w:rsid w:val="000424D5"/>
    <w:rsid w:val="000708A6"/>
    <w:rsid w:val="00085D89"/>
    <w:rsid w:val="000F42B0"/>
    <w:rsid w:val="0010195F"/>
    <w:rsid w:val="001C3182"/>
    <w:rsid w:val="001E2563"/>
    <w:rsid w:val="00214000"/>
    <w:rsid w:val="002169F7"/>
    <w:rsid w:val="002844ED"/>
    <w:rsid w:val="002A45AC"/>
    <w:rsid w:val="00307999"/>
    <w:rsid w:val="003542E9"/>
    <w:rsid w:val="0038156E"/>
    <w:rsid w:val="003D1C90"/>
    <w:rsid w:val="003E6B72"/>
    <w:rsid w:val="004A50A1"/>
    <w:rsid w:val="004B1AF7"/>
    <w:rsid w:val="004D52AA"/>
    <w:rsid w:val="00505320"/>
    <w:rsid w:val="00544CE0"/>
    <w:rsid w:val="0058718C"/>
    <w:rsid w:val="005B396A"/>
    <w:rsid w:val="005B490C"/>
    <w:rsid w:val="005C55E5"/>
    <w:rsid w:val="005D288A"/>
    <w:rsid w:val="0061488E"/>
    <w:rsid w:val="0063690A"/>
    <w:rsid w:val="00652F77"/>
    <w:rsid w:val="00677977"/>
    <w:rsid w:val="00680263"/>
    <w:rsid w:val="006E162F"/>
    <w:rsid w:val="006E46FD"/>
    <w:rsid w:val="006F31B6"/>
    <w:rsid w:val="007528CE"/>
    <w:rsid w:val="007728AC"/>
    <w:rsid w:val="00797DBC"/>
    <w:rsid w:val="008534E8"/>
    <w:rsid w:val="008742A4"/>
    <w:rsid w:val="008B16D2"/>
    <w:rsid w:val="008C54B8"/>
    <w:rsid w:val="008E5FB0"/>
    <w:rsid w:val="008F281D"/>
    <w:rsid w:val="00901032"/>
    <w:rsid w:val="00994664"/>
    <w:rsid w:val="00A011D1"/>
    <w:rsid w:val="00A84BFB"/>
    <w:rsid w:val="00A86B50"/>
    <w:rsid w:val="00A875CB"/>
    <w:rsid w:val="00AA3402"/>
    <w:rsid w:val="00AB0B11"/>
    <w:rsid w:val="00AC6B82"/>
    <w:rsid w:val="00B317E5"/>
    <w:rsid w:val="00B562F8"/>
    <w:rsid w:val="00B90EF7"/>
    <w:rsid w:val="00B977D4"/>
    <w:rsid w:val="00BF4A9A"/>
    <w:rsid w:val="00C01E32"/>
    <w:rsid w:val="00C447B8"/>
    <w:rsid w:val="00C473DE"/>
    <w:rsid w:val="00C90A3E"/>
    <w:rsid w:val="00CF38A3"/>
    <w:rsid w:val="00D177CA"/>
    <w:rsid w:val="00D26899"/>
    <w:rsid w:val="00D67492"/>
    <w:rsid w:val="00D806FA"/>
    <w:rsid w:val="00D93E56"/>
    <w:rsid w:val="00DE46A3"/>
    <w:rsid w:val="00E145E3"/>
    <w:rsid w:val="00E803E7"/>
    <w:rsid w:val="00EC340A"/>
    <w:rsid w:val="00F33268"/>
    <w:rsid w:val="00F41FC9"/>
    <w:rsid w:val="00F43AAD"/>
    <w:rsid w:val="00F534D4"/>
    <w:rsid w:val="00F55904"/>
    <w:rsid w:val="00F7570F"/>
    <w:rsid w:val="00F9628D"/>
    <w:rsid w:val="00FA2036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0F0345"/>
  <w15:chartTrackingRefBased/>
  <w15:docId w15:val="{A5CC1B6B-1A8B-4E9F-A781-FF2A3C1F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0A"/>
    <w:pPr>
      <w:spacing w:after="0" w:line="240" w:lineRule="auto"/>
    </w:pPr>
  </w:style>
  <w:style w:type="table" w:styleId="TableGrid">
    <w:name w:val="Table Grid"/>
    <w:basedOn w:val="TableNormal"/>
    <w:rsid w:val="00EC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1B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C31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182"/>
    <w:rPr>
      <w:rFonts w:eastAsiaTheme="minorEastAsia"/>
      <w:color w:val="5A5A5A" w:themeColor="text1" w:themeTint="A5"/>
      <w:spacing w:val="15"/>
    </w:rPr>
  </w:style>
  <w:style w:type="paragraph" w:customStyle="1" w:styleId="paragraph">
    <w:name w:val="paragraph"/>
    <w:basedOn w:val="Normal"/>
    <w:rsid w:val="00D26899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26899"/>
  </w:style>
  <w:style w:type="character" w:customStyle="1" w:styleId="eop">
    <w:name w:val="eop"/>
    <w:basedOn w:val="DefaultParagraphFont"/>
    <w:rsid w:val="00D26899"/>
  </w:style>
  <w:style w:type="paragraph" w:styleId="Header">
    <w:name w:val="header"/>
    <w:basedOn w:val="Normal"/>
    <w:link w:val="Head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55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5E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427FB.67FFF8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401319634214690D04DAF3908D878" ma:contentTypeVersion="10" ma:contentTypeDescription="Create a new document." ma:contentTypeScope="" ma:versionID="193aeae7fa68669c604009eb7e9c2701">
  <xsd:schema xmlns:xsd="http://www.w3.org/2001/XMLSchema" xmlns:xs="http://www.w3.org/2001/XMLSchema" xmlns:p="http://schemas.microsoft.com/office/2006/metadata/properties" xmlns:ns2="6198258f-d695-4562-b794-23fc47939127" xmlns:ns3="95de4bb0-80a9-4574-9601-0348977ee2f6" targetNamespace="http://schemas.microsoft.com/office/2006/metadata/properties" ma:root="true" ma:fieldsID="0164d25d9cdc05842b1e7a15a85835b6" ns2:_="" ns3:_="">
    <xsd:import namespace="6198258f-d695-4562-b794-23fc47939127"/>
    <xsd:import namespace="95de4bb0-80a9-4574-9601-0348977ee2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258f-d695-4562-b794-23fc479391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4bb0-80a9-4574-9601-0348977ee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B06E6C-C371-4053-A794-A3643BA8A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4BB5A-68DC-4495-9715-38A24EE3608F}">
  <ds:schemaRefs>
    <ds:schemaRef ds:uri="http://www.w3.org/XML/1998/namespace"/>
    <ds:schemaRef ds:uri="6198258f-d695-4562-b794-23fc47939127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95de4bb0-80a9-4574-9601-0348977ee2f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B90DED-B58B-482F-ABB0-380C6DD2A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8258f-d695-4562-b794-23fc47939127"/>
    <ds:schemaRef ds:uri="95de4bb0-80a9-4574-9601-0348977ee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Jayna Mistry</dc:creator>
  <cp:keywords/>
  <dc:description/>
  <cp:lastModifiedBy>Harj Kaur</cp:lastModifiedBy>
  <cp:revision>2</cp:revision>
  <dcterms:created xsi:type="dcterms:W3CDTF">2019-05-16T11:04:00Z</dcterms:created>
  <dcterms:modified xsi:type="dcterms:W3CDTF">2019-05-16T11:04:00Z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0x010100078401319634214690D04DAF3908D878</vt:lpwstr>
  </property>
  <property fmtid="{D5CDD505-2E9C-101B-9397-08002B2CF9AE}" pid="3" name="MSIP_Label_a731d191-7088-4eb1-ab06-b12dc07093e5_Enabled">
    <vt:lpwstr>True</vt:lpwstr>
  </property>
  <property fmtid="{D5CDD505-2E9C-101B-9397-08002B2CF9AE}" pid="4" name="MSIP_Label_a731d191-7088-4eb1-ab06-b12dc07093e5_SiteId">
    <vt:lpwstr>f032b319-4799-4e8e-a918-210123fcbf8b</vt:lpwstr>
  </property>
  <property fmtid="{D5CDD505-2E9C-101B-9397-08002B2CF9AE}" pid="5" name="MSIP_Label_a731d191-7088-4eb1-ab06-b12dc07093e5_Owner">
    <vt:lpwstr>Harj.Kaur@lgpscentral.co.uk</vt:lpwstr>
  </property>
  <property fmtid="{D5CDD505-2E9C-101B-9397-08002B2CF9AE}" pid="6" name="MSIP_Label_a731d191-7088-4eb1-ab06-b12dc07093e5_SetDate">
    <vt:lpwstr>2019-05-16T10:52:21.3963389Z</vt:lpwstr>
  </property>
  <property fmtid="{D5CDD505-2E9C-101B-9397-08002B2CF9AE}" pid="7" name="MSIP_Label_a731d191-7088-4eb1-ab06-b12dc07093e5_Name">
    <vt:lpwstr>Internal</vt:lpwstr>
  </property>
  <property fmtid="{D5CDD505-2E9C-101B-9397-08002B2CF9AE}" pid="8" name="MSIP_Label_a731d191-7088-4eb1-ab06-b12dc07093e5_Application">
    <vt:lpwstr>Microsoft Azure Information Protection</vt:lpwstr>
  </property>
  <property fmtid="{D5CDD505-2E9C-101B-9397-08002B2CF9AE}" pid="9" name="MSIP_Label_a731d191-7088-4eb1-ab06-b12dc07093e5_Extended_MSFT_Method">
    <vt:lpwstr>Manual</vt:lpwstr>
  </property>
  <property fmtid="{D5CDD505-2E9C-101B-9397-08002B2CF9AE}" pid="10" name="Sensitivity">
    <vt:lpwstr>Internal</vt:lpwstr>
  </property>
</Properties>
</file>